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C154" w14:textId="77777777" w:rsidR="00BE20F6" w:rsidRDefault="00BE20F6" w:rsidP="00BE20F6">
      <w:pPr>
        <w:pStyle w:val="Titolo1"/>
        <w:shd w:val="clear" w:color="auto" w:fill="FFFFFF"/>
        <w:spacing w:before="0" w:beforeAutospacing="0" w:after="300" w:afterAutospacing="0"/>
        <w:rPr>
          <w:rFonts w:ascii="Roboto Slab" w:hAnsi="Roboto Slab" w:cs="Arial"/>
          <w:b w:val="0"/>
          <w:bCs w:val="0"/>
          <w:color w:val="3C6F90"/>
          <w:sz w:val="53"/>
          <w:szCs w:val="53"/>
        </w:rPr>
      </w:pPr>
      <w:r>
        <w:rPr>
          <w:rFonts w:ascii="Roboto Slab" w:hAnsi="Roboto Slab" w:cs="Arial"/>
          <w:b w:val="0"/>
          <w:bCs w:val="0"/>
          <w:color w:val="3C6F90"/>
          <w:sz w:val="53"/>
          <w:szCs w:val="53"/>
        </w:rPr>
        <w:t>Ancora dubbi sugli ammortamenti per la rivalutazione del settore alberghiero</w:t>
      </w:r>
    </w:p>
    <w:p w14:paraId="4F20A57B" w14:textId="77777777" w:rsidR="00BE20F6" w:rsidRDefault="00BE20F6" w:rsidP="00BE20F6">
      <w:pPr>
        <w:pStyle w:val="Titolo2"/>
        <w:shd w:val="clear" w:color="auto" w:fill="FFFFFF"/>
        <w:spacing w:before="0" w:after="300" w:line="375" w:lineRule="atLeast"/>
        <w:rPr>
          <w:rFonts w:ascii="inherit" w:hAnsi="inherit" w:cs="Arial"/>
          <w:b/>
          <w:bCs/>
          <w:color w:val="686A6A"/>
          <w:sz w:val="32"/>
          <w:szCs w:val="32"/>
        </w:rPr>
      </w:pPr>
      <w:r>
        <w:rPr>
          <w:rFonts w:ascii="inherit" w:hAnsi="inherit" w:cs="Arial"/>
          <w:b/>
          <w:bCs/>
          <w:color w:val="686A6A"/>
          <w:sz w:val="32"/>
          <w:szCs w:val="32"/>
        </w:rPr>
        <w:t>La diversa previsione sulla rilevanza fiscale dei maggiori valori oggetto della rivalutazione speciale pone alcune problematiche sugli aspetti contabili</w:t>
      </w:r>
    </w:p>
    <w:p w14:paraId="48F501D9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La campagna bilanci 2020 ha visto le imprese operanti nel settore </w:t>
      </w:r>
      <w:r>
        <w:rPr>
          <w:rFonts w:ascii="Roboto Slab" w:hAnsi="Roboto Slab" w:cs="Arial"/>
          <w:b/>
          <w:bCs/>
          <w:color w:val="000000"/>
        </w:rPr>
        <w:t>alberghiero e termale</w:t>
      </w:r>
      <w:r>
        <w:rPr>
          <w:rFonts w:ascii="Roboto Slab" w:hAnsi="Roboto Slab" w:cs="Arial"/>
          <w:color w:val="000000"/>
        </w:rPr>
        <w:t> alle prese con gli impatti contabili e fiscali della rivalutazione introdotta lo scorso anno dall’</w:t>
      </w:r>
      <w:hyperlink r:id="rId8" w:tgtFrame="_blank" w:history="1">
        <w:r>
          <w:rPr>
            <w:rStyle w:val="Collegamentoipertestuale"/>
            <w:rFonts w:ascii="Roboto Slab" w:hAnsi="Roboto Slab" w:cs="Arial"/>
            <w:color w:val="337AB7"/>
          </w:rPr>
          <w:t>art. 6-</w:t>
        </w:r>
        <w:r>
          <w:rPr>
            <w:rStyle w:val="Collegamentoipertestuale"/>
            <w:rFonts w:ascii="Roboto Slab" w:hAnsi="Roboto Slab" w:cs="Arial"/>
            <w:i/>
            <w:iCs/>
            <w:color w:val="337AB7"/>
          </w:rPr>
          <w:t>bis</w:t>
        </w:r>
      </w:hyperlink>
      <w:r>
        <w:rPr>
          <w:rFonts w:ascii="Roboto Slab" w:hAnsi="Roboto Slab" w:cs="Arial"/>
          <w:color w:val="000000"/>
        </w:rPr>
        <w:t> del DL n. 23/2020 (c.d. decreto liquidità).</w:t>
      </w:r>
      <w:r>
        <w:rPr>
          <w:rFonts w:ascii="Roboto Slab" w:hAnsi="Roboto Slab" w:cs="Arial"/>
          <w:color w:val="000000"/>
        </w:rPr>
        <w:br/>
        <w:t>Il provvedimento consente alle imprese che operano nei suddetti settori, e che predispongono il bilancio sulla base delle disposizioni civilistiche, di rivalutare i beni di impresa e le partecipazioni, a esclusione degli immobili alla cui produzione o al cui scambio è diretta l’attività di impresa, in deroga all’</w:t>
      </w:r>
      <w:hyperlink r:id="rId9" w:tgtFrame="_blank" w:history="1">
        <w:r>
          <w:rPr>
            <w:rStyle w:val="Collegamentoipertestuale"/>
            <w:rFonts w:ascii="Roboto Slab" w:hAnsi="Roboto Slab" w:cs="Arial"/>
            <w:color w:val="337AB7"/>
          </w:rPr>
          <w:t>art. 2426</w:t>
        </w:r>
      </w:hyperlink>
      <w:r>
        <w:rPr>
          <w:rFonts w:ascii="Roboto Slab" w:hAnsi="Roboto Slab" w:cs="Arial"/>
          <w:color w:val="000000"/>
        </w:rPr>
        <w:t> c.c. e a ogni altra disposizione di legge vigente in materia.</w:t>
      </w:r>
    </w:p>
    <w:p w14:paraId="7A54BBE5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Per le imprese del settore alberghiero e termale l’agevolazione in questione (“</w:t>
      </w:r>
      <w:r>
        <w:rPr>
          <w:rFonts w:ascii="Roboto Slab" w:hAnsi="Roboto Slab" w:cs="Arial"/>
          <w:b/>
          <w:bCs/>
          <w:color w:val="000000"/>
        </w:rPr>
        <w:t>rivalutazione speciale</w:t>
      </w:r>
      <w:r>
        <w:rPr>
          <w:rFonts w:ascii="Roboto Slab" w:hAnsi="Roboto Slab" w:cs="Arial"/>
          <w:color w:val="000000"/>
        </w:rPr>
        <w:t>”) si affianca alla rivalutazione di beni di impresa di più ampia portata prevista dall’</w:t>
      </w:r>
      <w:hyperlink r:id="rId10" w:tgtFrame="_blank" w:history="1">
        <w:r>
          <w:rPr>
            <w:rStyle w:val="Collegamentoipertestuale"/>
            <w:rFonts w:ascii="Roboto Slab" w:hAnsi="Roboto Slab" w:cs="Arial"/>
            <w:color w:val="337AB7"/>
          </w:rPr>
          <w:t>art. 110</w:t>
        </w:r>
      </w:hyperlink>
      <w:r>
        <w:rPr>
          <w:rFonts w:ascii="Roboto Slab" w:hAnsi="Roboto Slab" w:cs="Arial"/>
          <w:color w:val="000000"/>
        </w:rPr>
        <w:t> del DL n. 104/2020 (“rivalutazione generale”), alla quale possono accedere anche le imprese operanti negli altri settori economici, ma rispetto a quest’ultima presenta alcune peculiarità.</w:t>
      </w:r>
    </w:p>
    <w:p w14:paraId="1FB926C5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In entrambi i casi la rivalutazione riguarda beni già presenti nel bilancio dell’esercizio in corso al 31 dicembre 2019, ma per quanto concerne quella speciale, essa deve essere eseguita in uno o in entrambi i bilanci relativi ai </w:t>
      </w:r>
      <w:r>
        <w:rPr>
          <w:rFonts w:ascii="Roboto Slab" w:hAnsi="Roboto Slab" w:cs="Arial"/>
          <w:b/>
          <w:bCs/>
          <w:color w:val="000000"/>
        </w:rPr>
        <w:t>due esercizi successivi</w:t>
      </w:r>
      <w:r>
        <w:rPr>
          <w:rFonts w:ascii="Roboto Slab" w:hAnsi="Roboto Slab" w:cs="Arial"/>
          <w:color w:val="000000"/>
        </w:rPr>
        <w:t>.</w:t>
      </w:r>
      <w:r>
        <w:rPr>
          <w:rFonts w:ascii="Roboto Slab" w:hAnsi="Roboto Slab" w:cs="Arial"/>
          <w:color w:val="000000"/>
        </w:rPr>
        <w:br/>
        <w:t>Ipotizzando un’impresa con esercizio coincidente con l’anno solare, la rivalutazione potrà pertanto essere effettuata nel bilancio chiuso al 31 dicembre 2020 e in quello successivo.</w:t>
      </w:r>
    </w:p>
    <w:p w14:paraId="1D1120AC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Rispetto alla rivalutazione generale quella speciale non consente invece di selezionare beni specifici da rivalutare, ma – come accadeva in passato – deve necessariamente riguardare tutti i beni appartenenti alla </w:t>
      </w:r>
      <w:r>
        <w:rPr>
          <w:rFonts w:ascii="Roboto Slab" w:hAnsi="Roboto Slab" w:cs="Arial"/>
          <w:b/>
          <w:bCs/>
          <w:color w:val="000000"/>
        </w:rPr>
        <w:t>stessa categoria omogenea</w:t>
      </w:r>
      <w:r>
        <w:rPr>
          <w:rFonts w:ascii="Roboto Slab" w:hAnsi="Roboto Slab" w:cs="Arial"/>
          <w:color w:val="000000"/>
        </w:rPr>
        <w:t>.</w:t>
      </w:r>
      <w:r>
        <w:rPr>
          <w:rFonts w:ascii="Roboto Slab" w:hAnsi="Roboto Slab" w:cs="Arial"/>
          <w:color w:val="000000"/>
        </w:rPr>
        <w:br/>
      </w:r>
      <w:r>
        <w:rPr>
          <w:rFonts w:ascii="Roboto Slab" w:hAnsi="Roboto Slab" w:cs="Arial"/>
          <w:color w:val="000000"/>
        </w:rPr>
        <w:lastRenderedPageBreak/>
        <w:t>Per contro, le disposizioni del decreto “liquidità” introducono un’importante agevolazione per le imprese del settore alberghiero e termale. I maggiori valori dei beni rivalutati hanno rilevanza anche </w:t>
      </w:r>
      <w:r>
        <w:rPr>
          <w:rFonts w:ascii="Roboto Slab" w:hAnsi="Roboto Slab" w:cs="Arial"/>
          <w:b/>
          <w:bCs/>
          <w:color w:val="000000"/>
        </w:rPr>
        <w:t>fiscale</w:t>
      </w:r>
      <w:r>
        <w:rPr>
          <w:rFonts w:ascii="Roboto Slab" w:hAnsi="Roboto Slab" w:cs="Arial"/>
          <w:color w:val="000000"/>
        </w:rPr>
        <w:t>, senza che sia dovuta alcuna imposta sostitutiva.</w:t>
      </w:r>
    </w:p>
    <w:p w14:paraId="351F1671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Altra importante differenza rispetto alle disposizioni sulla rivalutazione generale è rappresentata dal fatto che il maggior valore attribuito ai beni e alle partecipazioni si considera riconosciuto, ai fini delle imposte sui redditi e dell’IRAP, “a decorrere dall’esercizio nel cui bilancio la rivalutazione è </w:t>
      </w:r>
      <w:r>
        <w:rPr>
          <w:rFonts w:ascii="Roboto Slab" w:hAnsi="Roboto Slab" w:cs="Arial"/>
          <w:b/>
          <w:bCs/>
          <w:color w:val="000000"/>
        </w:rPr>
        <w:t>eseguita</w:t>
      </w:r>
      <w:r>
        <w:rPr>
          <w:rFonts w:ascii="Roboto Slab" w:hAnsi="Roboto Slab" w:cs="Arial"/>
          <w:color w:val="000000"/>
        </w:rPr>
        <w:t>”.</w:t>
      </w:r>
      <w:r>
        <w:rPr>
          <w:rFonts w:ascii="Roboto Slab" w:hAnsi="Roboto Slab" w:cs="Arial"/>
          <w:color w:val="000000"/>
        </w:rPr>
        <w:br/>
        <w:t>Si tratta, a ben vedere, di una diversa previsione rispetto alle disposizioni sulla rivalutazione generale, la quale prevede invece che il maggior valore attribuito ai beni possa essere riconosciuto a fini fiscali “a decorrere dall’esercizio successivo a quello con riferimento al quale la rivalutazione è stata eseguita”, subordinatamente al pagamento dell’imposta sostitutiva.</w:t>
      </w:r>
    </w:p>
    <w:p w14:paraId="04ACAA1F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La diversa previsione sulla rilevanza fiscale dei maggiori valori oggetto della rivalutazione speciale pone evidentemente alcune problematiche in ordine agli aspetti contabili della rivalutazione e alla possibilità di fruire per l’impresa, già in sede di bilancio 2020, di maggiori ammortamenti validi anche ai fini fiscali.</w:t>
      </w:r>
      <w:r>
        <w:rPr>
          <w:rFonts w:ascii="Roboto Slab" w:hAnsi="Roboto Slab" w:cs="Arial"/>
          <w:color w:val="000000"/>
        </w:rPr>
        <w:br/>
        <w:t>Va ricordato come l’Organismo italiano di contabilità, nell’ambito del documento interpretativo </w:t>
      </w:r>
      <w:hyperlink r:id="rId11" w:tgtFrame="_blank" w:history="1">
        <w:r>
          <w:rPr>
            <w:rStyle w:val="Collegamentoipertestuale"/>
            <w:rFonts w:ascii="Roboto Slab" w:hAnsi="Roboto Slab" w:cs="Arial"/>
            <w:color w:val="337AB7"/>
          </w:rPr>
          <w:t>7</w:t>
        </w:r>
      </w:hyperlink>
      <w:r>
        <w:rPr>
          <w:rFonts w:ascii="Roboto Slab" w:hAnsi="Roboto Slab" w:cs="Arial"/>
          <w:color w:val="000000"/>
        </w:rPr>
        <w:t> dello scorso marzo, e in linea con la precedente prassi contabile, abbia precisato al § 17 che nel bilancio in cui è eseguita la rivalutazione gli </w:t>
      </w:r>
      <w:r>
        <w:rPr>
          <w:rFonts w:ascii="Roboto Slab" w:hAnsi="Roboto Slab" w:cs="Arial"/>
          <w:b/>
          <w:bCs/>
          <w:color w:val="000000"/>
        </w:rPr>
        <w:t>ammortamenti</w:t>
      </w:r>
      <w:r>
        <w:rPr>
          <w:rFonts w:ascii="Roboto Slab" w:hAnsi="Roboto Slab" w:cs="Arial"/>
          <w:color w:val="000000"/>
        </w:rPr>
        <w:t> devono essere calcolati </w:t>
      </w:r>
      <w:r>
        <w:rPr>
          <w:rFonts w:ascii="Roboto Slab" w:hAnsi="Roboto Slab" w:cs="Arial"/>
          <w:b/>
          <w:bCs/>
          <w:color w:val="000000"/>
        </w:rPr>
        <w:t>sui valori non rivalutati</w:t>
      </w:r>
      <w:r>
        <w:rPr>
          <w:rFonts w:ascii="Roboto Slab" w:hAnsi="Roboto Slab" w:cs="Arial"/>
          <w:color w:val="000000"/>
        </w:rPr>
        <w:t>, in quanto la rivalutazione è ritenuta un’operazione successiva.</w:t>
      </w:r>
      <w:r>
        <w:rPr>
          <w:rFonts w:ascii="Roboto Slab" w:hAnsi="Roboto Slab" w:cs="Arial"/>
          <w:color w:val="000000"/>
        </w:rPr>
        <w:br/>
        <w:t>Ipotizzando sempre un’impresa con esercizio coincidente con l’anno solare, l’ammortamento di tali maggiori valori sarà pertanto effettuato a partire dall’esercizio 2021.</w:t>
      </w:r>
    </w:p>
    <w:p w14:paraId="6F071C29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È evidente, tuttavia, che così operando anche per quanto riguarda la rivalutazione speciale verrebbe disatteso il trattamento di favore previsto dal legislatore per il settore alberghiero e termale. Considerato che il maggior valore fiscale non rileva nei quattro anni successivi in caso di dismissione del bene, laddove non vi fosse la possibilità di ammortizzare i maggiori valori, il </w:t>
      </w:r>
      <w:r>
        <w:rPr>
          <w:rFonts w:ascii="Roboto Slab" w:hAnsi="Roboto Slab" w:cs="Arial"/>
          <w:b/>
          <w:bCs/>
          <w:color w:val="000000"/>
        </w:rPr>
        <w:t>beneficio fiscale</w:t>
      </w:r>
      <w:r>
        <w:rPr>
          <w:rFonts w:ascii="Roboto Slab" w:hAnsi="Roboto Slab" w:cs="Arial"/>
          <w:color w:val="000000"/>
        </w:rPr>
        <w:t> per tali imprese nel bilancio 2020 sarebbe </w:t>
      </w:r>
      <w:r>
        <w:rPr>
          <w:rFonts w:ascii="Roboto Slab" w:hAnsi="Roboto Slab" w:cs="Arial"/>
          <w:b/>
          <w:bCs/>
          <w:color w:val="000000"/>
        </w:rPr>
        <w:t>limitato</w:t>
      </w:r>
      <w:r>
        <w:rPr>
          <w:rFonts w:ascii="Roboto Slab" w:hAnsi="Roboto Slab" w:cs="Arial"/>
          <w:color w:val="000000"/>
        </w:rPr>
        <w:t xml:space="preserve">, di fatto, al solo maggiore plafond per la deducibilità delle spese di </w:t>
      </w:r>
      <w:r>
        <w:rPr>
          <w:rFonts w:ascii="Roboto Slab" w:hAnsi="Roboto Slab" w:cs="Arial"/>
          <w:color w:val="000000"/>
        </w:rPr>
        <w:lastRenderedPageBreak/>
        <w:t>manutenzione. Posto che l’utilizzo di valori rivalutati ai fini della società di comodo già dal 2020 non può certo essere visto come un’agevolazione.</w:t>
      </w:r>
    </w:p>
    <w:p w14:paraId="7ED033DF" w14:textId="77777777" w:rsidR="00BE20F6" w:rsidRDefault="00BE20F6" w:rsidP="00BE20F6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 w:cs="Arial"/>
          <w:color w:val="000000"/>
        </w:rPr>
      </w:pPr>
      <w:r>
        <w:rPr>
          <w:rFonts w:ascii="Roboto Slab" w:hAnsi="Roboto Slab" w:cs="Arial"/>
          <w:color w:val="000000"/>
        </w:rPr>
        <w:t>Il tema, non affrontato dalla prassi contabile, né dall’Agenzia delle Entrate, trova ancora dubbi in dottrina. Taluna, anche autorevole, ha tuttavia evidenziato che se la rivalutazione speciale viene eseguita nel bilancio 2020, i maggior valori dei beni sono riconosciuti nello stesso bilancio, con conseguente calcolo delle quote di ammortamento fiscalmente deducibili. Aderendo a queste indicazioni l’impresa dovrebbe pertanto procedere dapprima alla </w:t>
      </w:r>
      <w:r>
        <w:rPr>
          <w:rFonts w:ascii="Roboto Slab" w:hAnsi="Roboto Slab" w:cs="Arial"/>
          <w:b/>
          <w:bCs/>
          <w:color w:val="000000"/>
        </w:rPr>
        <w:t>rivalutazione</w:t>
      </w:r>
      <w:r>
        <w:rPr>
          <w:rFonts w:ascii="Roboto Slab" w:hAnsi="Roboto Slab" w:cs="Arial"/>
          <w:color w:val="000000"/>
        </w:rPr>
        <w:t> dei beni e provvedere poi alla determinazione degli </w:t>
      </w:r>
      <w:r>
        <w:rPr>
          <w:rFonts w:ascii="Roboto Slab" w:hAnsi="Roboto Slab" w:cs="Arial"/>
          <w:b/>
          <w:bCs/>
          <w:color w:val="000000"/>
        </w:rPr>
        <w:t>ammortamenti</w:t>
      </w:r>
      <w:r>
        <w:rPr>
          <w:rFonts w:ascii="Roboto Slab" w:hAnsi="Roboto Slab" w:cs="Arial"/>
          <w:color w:val="000000"/>
        </w:rPr>
        <w:t>, i quali sarebbero anche integralmente deducibili.</w:t>
      </w:r>
      <w:r>
        <w:rPr>
          <w:rFonts w:ascii="Roboto Slab" w:hAnsi="Roboto Slab" w:cs="Arial"/>
          <w:color w:val="000000"/>
        </w:rPr>
        <w:br/>
        <w:t>Dato che la rivalutazione speciale potrà essere fruita anche in occasione del prossimo bilancio 2021, sarebbe auspicabile che prima di allora Organismo italiano di contabilità e Agenzia delle Entrate fornissero adeguati chiarimenti.</w:t>
      </w:r>
    </w:p>
    <w:p w14:paraId="273C09B3" w14:textId="77777777" w:rsidR="00733CA6" w:rsidRPr="00E44708" w:rsidRDefault="00733CA6" w:rsidP="00E44708"/>
    <w:sectPr w:rsidR="00733CA6" w:rsidRPr="00E4470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9380" w14:textId="77777777" w:rsidR="004111B8" w:rsidRDefault="004111B8">
      <w:r>
        <w:separator/>
      </w:r>
    </w:p>
  </w:endnote>
  <w:endnote w:type="continuationSeparator" w:id="0">
    <w:p w14:paraId="26A03789" w14:textId="77777777" w:rsidR="004111B8" w:rsidRDefault="0041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4E4E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1B29CBCC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2D7C1333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0BF946F3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75238D53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390D" w14:textId="77777777" w:rsidR="004111B8" w:rsidRDefault="004111B8">
      <w:r>
        <w:separator/>
      </w:r>
    </w:p>
  </w:footnote>
  <w:footnote w:type="continuationSeparator" w:id="0">
    <w:p w14:paraId="375201E1" w14:textId="77777777" w:rsidR="004111B8" w:rsidRDefault="0041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0473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663292" wp14:editId="79AF02C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9906E" w14:textId="77777777" w:rsidR="005E2050" w:rsidRDefault="005E2050">
    <w:pPr>
      <w:pStyle w:val="Intestazione"/>
    </w:pPr>
  </w:p>
  <w:p w14:paraId="6D56D84D" w14:textId="77777777" w:rsidR="005E2050" w:rsidRDefault="005E2050">
    <w:pPr>
      <w:pStyle w:val="Intestazione"/>
    </w:pPr>
  </w:p>
  <w:p w14:paraId="37B4E40E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319DBE16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0B921309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111B8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BE20F6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E68FD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E2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BE2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me">
    <w:name w:val="name"/>
    <w:basedOn w:val="Normale"/>
    <w:rsid w:val="00BE20F6"/>
    <w:pPr>
      <w:spacing w:before="100" w:beforeAutospacing="1" w:after="100" w:afterAutospacing="1"/>
    </w:pPr>
  </w:style>
  <w:style w:type="paragraph" w:customStyle="1" w:styleId="data">
    <w:name w:val="data"/>
    <w:basedOn w:val="Normale"/>
    <w:rsid w:val="00BE20F6"/>
    <w:pPr>
      <w:spacing w:before="100" w:beforeAutospacing="1" w:after="100" w:afterAutospacing="1"/>
    </w:pPr>
  </w:style>
  <w:style w:type="paragraph" w:customStyle="1" w:styleId="section-title">
    <w:name w:val="section-title"/>
    <w:basedOn w:val="Normale"/>
    <w:rsid w:val="00BE20F6"/>
    <w:pPr>
      <w:spacing w:before="100" w:beforeAutospacing="1" w:after="100" w:afterAutospacing="1"/>
    </w:pPr>
  </w:style>
  <w:style w:type="paragraph" w:customStyle="1" w:styleId="title">
    <w:name w:val="title"/>
    <w:basedOn w:val="Normale"/>
    <w:rsid w:val="00BE20F6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BE20F6"/>
    <w:pPr>
      <w:spacing w:before="100" w:beforeAutospacing="1" w:after="100" w:afterAutospacing="1"/>
    </w:pPr>
  </w:style>
  <w:style w:type="paragraph" w:customStyle="1" w:styleId="author">
    <w:name w:val="author"/>
    <w:basedOn w:val="Normale"/>
    <w:rsid w:val="00BE20F6"/>
    <w:pPr>
      <w:spacing w:before="100" w:beforeAutospacing="1" w:after="100" w:afterAutospacing="1"/>
    </w:pPr>
  </w:style>
  <w:style w:type="paragraph" w:customStyle="1" w:styleId="label-caso-del-giorno">
    <w:name w:val="label-caso-del-giorno"/>
    <w:basedOn w:val="Normale"/>
    <w:rsid w:val="00BE2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3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0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91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046">
                          <w:marLeft w:val="-225"/>
                          <w:marRight w:val="-2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4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3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9D9"/>
                            <w:right w:val="none" w:sz="0" w:space="0" w:color="auto"/>
                          </w:divBdr>
                          <w:divsChild>
                            <w:div w:id="1818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9D9"/>
                            <w:right w:val="none" w:sz="0" w:space="0" w:color="auto"/>
                          </w:divBdr>
                          <w:divsChild>
                            <w:div w:id="17981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9D9"/>
                            <w:right w:val="none" w:sz="0" w:space="0" w:color="auto"/>
                          </w:divBdr>
                          <w:divsChild>
                            <w:div w:id="14332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74134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tekne.it/Servizi/RassegnaLeggi/Recensione_Articolo.aspx?IDLegge=19210&amp;IDArticolo=509999&amp;IDSrc=1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tekne.it/Servizi/BancaDati/Testo.aspx?ID=351770&amp;IDSrc=1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tekne.it/Servizi/RassegnaLeggi/Recensione_Articolo.aspx?IDLegge=19583&amp;IDArticolo=515192&amp;IDSrc=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tekne.it/Servizi/RassegnaLeggi/Recensione_Articolo.aspx?IDLegge=247&amp;IDArticolo=38641&amp;IDSrc=1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2021-08-09T13:17:00Z</dcterms:modified>
</cp:coreProperties>
</file>